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о поиске сведений об участниках </w:t>
      </w:r>
      <w:r/>
    </w:p>
    <w:p>
      <w:pPr>
        <w:contextualSpacing w:val="false"/>
        <w:jc w:val="center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Великой Отечественной войны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(в творительном падеже)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рассмотрено Ваше обращение о предоставлении данных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подтверждающих участие в Великой Отечественной войне и награждение указанного Вами лица.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b/>
          <w:i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  <w:t xml:space="preserve">Сообщаем, что документы, содержащие запрашиваемые Вами сведения,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Fonts w:ascii="Times New Roman" w:hAnsi="Times New Roman" w:cs="Times New Roman" w:eastAsia="Times New Roman"/>
          <w:sz w:val="28"/>
        </w:rPr>
        <w:t xml:space="preserve"> на хранение не поступали.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возможного поиска информации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призыве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прохождении службы в рядах Красной Армии рекомендуем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обращаться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ФГКУ «Центральный архив Министерства обороны Российской Федерации» по адресу: ул. Кирова, д. 74,  г. Подольск, Московская обл., 142100, тел: (496) 769 90 05; 769 96 20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(контакты: </w:t>
      </w:r>
      <w:hyperlink r:id="rId10" w:tooltip="http://archive.mil.ru/archival_service/central/contacts.htm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http://archive.mil.ru/archival_service/central/contacts.htm</w:t>
        </w:r>
      </w:hyperlink>
      <w:r>
        <w:rPr>
          <w:rFonts w:ascii="Times New Roman" w:hAnsi="Times New Roman" w:cs="Times New Roman" w:eastAsia="Times New Roman"/>
          <w:sz w:val="28"/>
          <w:szCs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Информируем Вас, что Министерством обороны Российской Федерации создан Интернет-портал «Память народа», в котором имеются общедоступные банки данных «Мемориал» и «Подвиг народа», созданные в результате перевода в электронный вид документов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ФГКУ «Центральный архив Министерства обороны Российской Федерации».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Данные ресурсы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находятся в открытом доступе и позволяют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всем желающим получить имеющуюся информацию при ее наличии о своих родственниках, проходивших военную службу в годы Великой Отечественной войны.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color w:val="000000"/>
          <w:sz w:val="28"/>
        </w:rPr>
        <w:suppressLineNumbers w:val="0"/>
      </w:pPr>
      <w:r>
        <w:rPr>
          <w:rFonts w:ascii="Times New Roman" w:hAnsi="Times New Roman" w:cs="Times New Roman" w:eastAsia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В соответствии с поручением Президента Российской Федерации В.В. Путина о создании электронных Книг памяти сел и муниципальных образований Российской Федерации с целью увековече</w:t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ния памяти погибших при защите Отечества (от 12 июня 2021 г. № Пр-1006) разработан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информационный интернет-проект «Книга памяти» Нижегородской области.</w:t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color w:val="000000"/>
          <w:sz w:val="28"/>
        </w:rPr>
        <w:suppressLineNumbers w:val="0"/>
      </w:pP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Цель проекта – опубликовать для широкого круга пользователей документы, содержащие сведения о нижегородцах (горьковчанах) – участниках Великой Отечественной войны 1941-1945 гг., вернувшихся с фронтов Победителями, о погибших и пропавших без вести, их подви</w:t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гах и награждениях, с целью увековечения памяти и сохранения исторической правды о земляках, приближавших Великую Победу. </w:t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color w:val="000000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Пользователи проекта смогут осуществлять поиск необходимой информации, просматривать и копировать интересующие документы о фронтовиках</w:t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-нижегородцах – героях, орденоносцах, рядовых солдатах Победы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(адрес ссылки: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</w:r>
      <w:hyperlink r:id="rId11" w:tooltip="https://memory.nobl.ru/mashaev-evstafiy-pavlovich_67247.html)" w:history="1">
        <w:r>
          <w:rPr>
            <w:rStyle w:val="820"/>
            <w:rFonts w:ascii="Times New Roman" w:hAnsi="Times New Roman" w:cs="Times New Roman" w:eastAsia="Times New Roman"/>
            <w:color w:val="000000" w:themeColor="text1"/>
            <w:sz w:val="28"/>
            <w:szCs w:val="28"/>
          </w:rPr>
          <w:t xml:space="preserve">https://memory.nobl.ru)</w:t>
        </w:r>
      </w:hyperlink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highlight w:val="none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поиска сведений об участии указанного Вами лица в военных действиях рекомендуем  также обращаться в военкомат по месту его призыва.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 w:after="0" w:before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том случае, если Вам необходимы сведения 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ранении указанного Вами лица и пребывании в госпитале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рекомендуем обращаться в филиал Центрального архива Министерства обороны Российской Федерации (военно-медицинских документов) по адресу: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пер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азаретный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д. 2, г. Санкт-Петербург, 191180, тел. 8(812) 315 73 28 (контактные данные: </w:t>
      </w:r>
      <w:hyperlink r:id="rId12" w:tooltip="https://archive.mil.ru/archival_service/central/all.htm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https://archive.mil.ru/archival_service/central/all.htm</w:t>
        </w:r>
      </w:hyperlink>
      <w:r>
        <w:rPr>
          <w:rFonts w:ascii="Times New Roman" w:hAnsi="Times New Roman" w:cs="Times New Roman" w:eastAsia="Times New Roman"/>
          <w:sz w:val="28"/>
          <w:szCs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false"/>
        <w:ind w:firstLine="720"/>
        <w:jc w:val="both"/>
        <w:spacing w:lineRule="auto" w:line="276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 regular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  <w:style w:type="paragraph" w:styleId="826">
    <w:name w:val="Основной текст 21"/>
    <w:rPr>
      <w:rFonts w:ascii="Liberation Serif" w:hAnsi="Liberation Serif" w:cs="Times New Roman" w:eastAsia="noto sans cjk sc regular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4"/>
      <w:highlight w:val="none"/>
      <w:u w:val="none"/>
      <w:vertAlign w:val="baseline"/>
      <w:rtl w:val="false"/>
      <w:cs w:val="false"/>
      <w:lang w:val="en-US" w:bidi="hi-IN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36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7">
    <w:name w:val="Emphasis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archive.mil.ru/archival_service/central/contacts.htm" TargetMode="External"/><Relationship Id="rId11" Type="http://schemas.openxmlformats.org/officeDocument/2006/relationships/hyperlink" Target="https://memory.nobl.ru/mashaev-evstafiy-pavlovich_67247.html)" TargetMode="External"/><Relationship Id="rId12" Type="http://schemas.openxmlformats.org/officeDocument/2006/relationships/hyperlink" Target="https://archive.mil.ru/archival_service/central/all.ht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2025-09-10T08:16:12Z</dcterms:modified>
</cp:coreProperties>
</file>